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spacing w:after="160"/>
        <w:jc w:val="right"/>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posOffset>-24764</wp:posOffset>
                </wp:positionH>
                <wp:positionV relativeFrom="paragraph">
                  <wp:posOffset>-3809</wp:posOffset>
                </wp:positionV>
                <wp:extent cx="2181860" cy="723900"/>
                <wp:effectExtent l="0" t="0" r="0" b="0"/>
                <wp:wrapNone/>
                <wp:docPr id="1" name="_x0000_s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181860" cy="7239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1.95pt;mso-position-horizontal:absolute;mso-position-vertical-relative:text;margin-top:-0.30pt;mso-position-vertical:absolute;width:171.80pt;height:57.00pt;mso-wrap-distance-left:9.00pt;mso-wrap-distance-top:0.00pt;mso-wrap-distance-right:9.00pt;mso-wrap-distance-bottom:0.00pt;" stroked="f">
                <v:path textboxrect="0,0,0,0"/>
                <v:imagedata r:id="rId11" o:title=""/>
              </v:shape>
            </w:pict>
          </mc:Fallback>
        </mc:AlternateContent>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spacing w:after="160"/>
        <w:jc w:val="right"/>
        <w:rPr>
          <w:rStyle w:val="UserStyle_60"/>
          <w:bCs/>
          <w:sz w:val="28"/>
          <w:szCs w:val="28"/>
        </w:rPr>
      </w:pPr>
      <w:r>
        <w:rPr>
          <w:rStyle w:val="UserStyle_60"/>
          <w:b/>
          <w:bCs/>
          <w:sz w:val="28"/>
          <w:szCs w:val="28"/>
        </w:rPr>
        <w:t xml:space="preserve">06</w:t>
      </w:r>
      <w:r>
        <w:rPr>
          <w:rStyle w:val="UserStyle_60"/>
          <w:b/>
          <w:bCs/>
          <w:sz w:val="28"/>
          <w:szCs w:val="28"/>
        </w:rPr>
        <w:t xml:space="preserve">.</w:t>
      </w:r>
      <w:r>
        <w:rPr>
          <w:rStyle w:val="UserStyle_60"/>
          <w:b/>
          <w:bCs/>
          <w:sz w:val="28"/>
          <w:szCs w:val="28"/>
        </w:rPr>
        <w:t xml:space="preserve">1</w:t>
      </w:r>
      <w:r>
        <w:rPr>
          <w:rStyle w:val="UserStyle_60"/>
          <w:b/>
          <w:bCs/>
          <w:sz w:val="28"/>
          <w:szCs w:val="28"/>
        </w:rPr>
        <w:t xml:space="preserve">1</w:t>
      </w:r>
      <w:r>
        <w:rPr>
          <w:rStyle w:val="UserStyle_60"/>
          <w:b/>
          <w:bCs/>
          <w:sz w:val="28"/>
          <w:szCs w:val="28"/>
        </w:rPr>
        <w:t xml:space="preserve">.2</w:t>
      </w:r>
      <w:r>
        <w:rPr>
          <w:rStyle w:val="UserStyle_60"/>
          <w:b/>
          <w:bCs/>
          <w:sz w:val="28"/>
          <w:szCs w:val="28"/>
        </w:rPr>
        <w:t xml:space="preserve">024</w:t>
      </w:r>
      <w:r>
        <w:rPr>
          <w:rStyle w:val="UserStyle_60"/>
          <w:bCs/>
          <w:sz w:val="28"/>
          <w:szCs w:val="28"/>
        </w:rPr>
      </w:r>
    </w:p>
    <w:p>
      <w:pPr>
        <w:pStyle w:val="Normal"/>
        <w:ind w:firstLine="709"/>
        <w:jc w:val="both"/>
        <w:rPr>
          <w:color w:val="0070c0"/>
          <w:sz w:val="28"/>
          <w:szCs w:val="28"/>
        </w:rPr>
      </w:pPr>
      <w:r>
        <w:rPr>
          <w:color w:val="0070c0"/>
          <w:sz w:val="28"/>
          <w:szCs w:val="28"/>
        </w:rPr>
      </w:r>
    </w:p>
    <w:p>
      <w:pPr>
        <w:pStyle w:val="Normal"/>
        <w:jc w:val="center"/>
        <w:rPr>
          <w:b/>
          <w:color w:val="0070c0"/>
          <w:sz w:val="28"/>
          <w:szCs w:val="28"/>
        </w:rPr>
      </w:pPr>
      <w:r>
        <w:rPr>
          <w:b/>
          <w:color w:val="0070c0"/>
          <w:sz w:val="28"/>
          <w:szCs w:val="28"/>
        </w:rPr>
        <w:t xml:space="preserve">На Южном Урале зарегистрированы права в отношении </w:t>
      </w:r>
      <w:r>
        <w:rPr>
          <w:b/>
          <w:color w:val="0070c0"/>
          <w:sz w:val="28"/>
          <w:szCs w:val="28"/>
        </w:rPr>
        <w:t xml:space="preserve">8</w:t>
      </w:r>
      <w:r>
        <w:rPr>
          <w:b/>
          <w:color w:val="0070c0"/>
          <w:sz w:val="28"/>
          <w:szCs w:val="28"/>
        </w:rPr>
        <w:t xml:space="preserve">1</w:t>
      </w:r>
      <w:r>
        <w:rPr>
          <w:b/>
          <w:color w:val="0070c0"/>
          <w:sz w:val="28"/>
          <w:szCs w:val="28"/>
        </w:rPr>
        <w:t xml:space="preserve"> 347</w:t>
      </w:r>
      <w:r>
        <w:rPr>
          <w:b/>
          <w:color w:val="0070c0"/>
          <w:sz w:val="28"/>
          <w:szCs w:val="28"/>
        </w:rPr>
        <w:t xml:space="preserve"> ранее учтенных объектов недвижимости</w:t>
      </w:r>
      <w:r>
        <w:rPr>
          <w:b/>
          <w:color w:val="0070c0"/>
          <w:sz w:val="28"/>
          <w:szCs w:val="28"/>
        </w:rPr>
      </w:r>
    </w:p>
    <w:p>
      <w:pPr>
        <w:pStyle w:val="Normal"/>
        <w:ind w:firstLine="709"/>
        <w:jc w:val="both"/>
        <w:rPr>
          <w:color w:val="0070c0"/>
          <w:sz w:val="28"/>
          <w:szCs w:val="28"/>
        </w:rPr>
      </w:pPr>
      <w:r>
        <w:rPr>
          <w:color w:val="0070c0"/>
          <w:sz w:val="28"/>
          <w:szCs w:val="28"/>
        </w:rPr>
      </w:r>
    </w:p>
    <w:p>
      <w:pPr>
        <w:pStyle w:val="Normal"/>
        <w:ind w:firstLine="709"/>
        <w:jc w:val="both"/>
        <w:rPr>
          <w:b/>
          <w:sz w:val="28"/>
          <w:szCs w:val="28"/>
        </w:rPr>
      </w:pPr>
      <w:r>
        <w:rPr>
          <w:b/>
          <w:sz w:val="28"/>
          <w:szCs w:val="28"/>
        </w:rPr>
        <w:t xml:space="preserve">Управление Росреестра по Челябинской области продолжает делиться с южноуральцами статистикой в сфере земли и недвижимости. Сегодня в рамках рубрики «Цифра дня» расскажем о проведении на территории региона работы по выявлению правообладателей ранее учтенных объектов недвижимости.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 Федеральный закон от 30.12.2020 № 518-ФЗ «О внесении изменений в отдельные законодательные акты Российской Федерации» регламентирует порядок выявления правообладателей ранее учтенной недвижимости. Речь идет об объектах, права на которые возникли до 31 января 1998 года, но до настоящего времени не зарегистрированы в ЕГРН. </w:t>
      </w:r>
    </w:p>
    <w:p>
      <w:pPr>
        <w:pStyle w:val="Normal"/>
        <w:ind w:firstLine="709"/>
        <w:jc w:val="both"/>
        <w:rPr>
          <w:sz w:val="28"/>
          <w:szCs w:val="28"/>
        </w:rPr>
      </w:pPr>
      <w:r>
        <w:rPr>
          <w:sz w:val="28"/>
          <w:szCs w:val="28"/>
        </w:rPr>
        <w:t xml:space="preserve">С</w:t>
      </w:r>
      <w:r>
        <w:rPr>
          <w:sz w:val="28"/>
          <w:szCs w:val="28"/>
        </w:rPr>
        <w:t xml:space="preserve"> 29 июня 202</w:t>
      </w:r>
      <w:r>
        <w:rPr>
          <w:sz w:val="28"/>
          <w:szCs w:val="28"/>
        </w:rPr>
        <w:t xml:space="preserve">1</w:t>
      </w:r>
      <w:r>
        <w:rPr>
          <w:sz w:val="28"/>
          <w:szCs w:val="28"/>
        </w:rPr>
        <w:t xml:space="preserve"> года</w:t>
      </w:r>
      <w:r>
        <w:rPr>
          <w:sz w:val="28"/>
          <w:szCs w:val="28"/>
        </w:rPr>
        <w:t xml:space="preserve"> </w:t>
      </w:r>
      <w:r>
        <w:rPr>
          <w:sz w:val="28"/>
          <w:szCs w:val="28"/>
        </w:rPr>
        <w:t xml:space="preserve">(</w:t>
      </w:r>
      <w:r>
        <w:rPr>
          <w:sz w:val="28"/>
          <w:szCs w:val="28"/>
        </w:rPr>
        <w:t xml:space="preserve">вступления в силу зако</w:t>
      </w:r>
      <w:r>
        <w:rPr>
          <w:sz w:val="28"/>
          <w:szCs w:val="28"/>
        </w:rPr>
        <w:t xml:space="preserve">на о выявлении правообладателей </w:t>
      </w:r>
      <w:r>
        <w:rPr>
          <w:sz w:val="28"/>
          <w:szCs w:val="28"/>
        </w:rPr>
        <w:t xml:space="preserve">ранее</w:t>
      </w:r>
      <w:r>
        <w:rPr>
          <w:sz w:val="28"/>
          <w:szCs w:val="28"/>
        </w:rPr>
        <w:t xml:space="preserve"> </w:t>
      </w:r>
      <w:r>
        <w:rPr>
          <w:sz w:val="28"/>
          <w:szCs w:val="28"/>
        </w:rPr>
        <w:t xml:space="preserve">учтенных объектов</w:t>
      </w:r>
      <w:r>
        <w:rPr>
          <w:sz w:val="28"/>
          <w:szCs w:val="28"/>
        </w:rPr>
        <w:t xml:space="preserve"> </w:t>
      </w:r>
      <w:r>
        <w:rPr>
          <w:sz w:val="28"/>
          <w:szCs w:val="28"/>
        </w:rPr>
        <w:t xml:space="preserve">недвижимости</w:t>
      </w:r>
      <w:r>
        <w:rPr>
          <w:sz w:val="28"/>
          <w:szCs w:val="28"/>
        </w:rPr>
        <w:t xml:space="preserve">) </w:t>
      </w:r>
      <w:r>
        <w:rPr>
          <w:sz w:val="28"/>
          <w:szCs w:val="28"/>
        </w:rPr>
        <w:t xml:space="preserve">и </w:t>
      </w:r>
      <w:r>
        <w:rPr>
          <w:sz w:val="28"/>
          <w:szCs w:val="28"/>
        </w:rPr>
        <w:t xml:space="preserve">по </w:t>
      </w:r>
      <w:r>
        <w:rPr>
          <w:sz w:val="28"/>
          <w:szCs w:val="28"/>
        </w:rPr>
        <w:t xml:space="preserve">состоянию на </w:t>
      </w:r>
      <w:r>
        <w:rPr>
          <w:sz w:val="28"/>
          <w:szCs w:val="28"/>
        </w:rPr>
        <w:t xml:space="preserve">1 ноября 2024 года </w:t>
      </w:r>
      <w:r>
        <w:rPr>
          <w:sz w:val="28"/>
          <w:szCs w:val="28"/>
        </w:rPr>
        <w:t xml:space="preserve">в</w:t>
      </w:r>
      <w:r>
        <w:rPr>
          <w:sz w:val="28"/>
          <w:szCs w:val="28"/>
        </w:rPr>
        <w:t xml:space="preserve"> Челябинской области </w:t>
      </w:r>
      <w:r>
        <w:rPr>
          <w:sz w:val="28"/>
          <w:szCs w:val="28"/>
        </w:rPr>
        <w:t xml:space="preserve">проведена государственная регистрация ранее возникших прав в отношении </w:t>
      </w:r>
      <w:r>
        <w:rPr>
          <w:sz w:val="28"/>
          <w:szCs w:val="28"/>
        </w:rPr>
        <w:t xml:space="preserve">81 347 </w:t>
      </w:r>
      <w:r>
        <w:rPr>
          <w:sz w:val="28"/>
          <w:szCs w:val="28"/>
        </w:rPr>
        <w:t xml:space="preserve">ранее учтенных объектов недвижимости, </w:t>
      </w:r>
      <w:r>
        <w:rPr>
          <w:sz w:val="28"/>
          <w:szCs w:val="28"/>
        </w:rPr>
        <w:t xml:space="preserve">50 555 </w:t>
      </w:r>
      <w:r>
        <w:rPr>
          <w:sz w:val="28"/>
          <w:szCs w:val="28"/>
        </w:rPr>
        <w:t xml:space="preserve">объект</w:t>
      </w:r>
      <w:r>
        <w:rPr>
          <w:sz w:val="28"/>
          <w:szCs w:val="28"/>
        </w:rPr>
        <w:t xml:space="preserve">ов</w:t>
      </w:r>
      <w:r>
        <w:rPr>
          <w:sz w:val="28"/>
          <w:szCs w:val="28"/>
        </w:rPr>
        <w:t xml:space="preserve"> были сняты с кадастрового учета по результатам рассмотрения заявлений от органов местного самоуправления, выявлено </w:t>
      </w:r>
      <w:r>
        <w:rPr>
          <w:sz w:val="28"/>
          <w:szCs w:val="28"/>
        </w:rPr>
        <w:t xml:space="preserve">32 156 </w:t>
      </w:r>
      <w:r>
        <w:rPr>
          <w:sz w:val="28"/>
          <w:szCs w:val="28"/>
        </w:rPr>
        <w:t xml:space="preserve">правообладателей в отношении </w:t>
      </w:r>
      <w:r>
        <w:rPr>
          <w:sz w:val="28"/>
          <w:szCs w:val="28"/>
        </w:rPr>
        <w:t xml:space="preserve">29</w:t>
      </w:r>
      <w:r>
        <w:rPr>
          <w:sz w:val="28"/>
          <w:szCs w:val="28"/>
        </w:rPr>
        <w:t xml:space="preserve"> 540 </w:t>
      </w:r>
      <w:r>
        <w:rPr>
          <w:sz w:val="28"/>
          <w:szCs w:val="28"/>
        </w:rPr>
        <w:t xml:space="preserve">объектов недвижимости.</w:t>
      </w:r>
      <w:r>
        <w:rPr>
          <w:sz w:val="28"/>
          <w:szCs w:val="28"/>
        </w:rPr>
      </w:r>
    </w:p>
    <w:p>
      <w:pPr>
        <w:pStyle w:val="Normal"/>
        <w:ind w:firstLine="709"/>
        <w:jc w:val="both"/>
        <w:rPr>
          <w:sz w:val="28"/>
          <w:szCs w:val="28"/>
        </w:rPr>
      </w:pPr>
      <w:r>
        <w:rPr>
          <w:sz w:val="28"/>
          <w:szCs w:val="28"/>
        </w:rPr>
        <w:t xml:space="preserve">Отметим, что г</w:t>
      </w:r>
      <w:r>
        <w:rPr>
          <w:sz w:val="28"/>
          <w:szCs w:val="28"/>
        </w:rPr>
        <w:t xml:space="preserve">осударственная регистрация ранее возникшего права </w:t>
      </w:r>
      <w:r>
        <w:rPr>
          <w:sz w:val="28"/>
          <w:szCs w:val="28"/>
        </w:rPr>
        <w:t xml:space="preserve">на объекты недвижимости </w:t>
      </w:r>
      <w:r>
        <w:rPr>
          <w:sz w:val="28"/>
          <w:szCs w:val="28"/>
        </w:rPr>
        <w:t xml:space="preserve">обеспечивает доступность и достоверность данных об этих объектах. При наличии актуальных сведений в ЕГРН пресекаются мошеннические действия в отношении объектов недвижимости. Кроме того, граждане своевременно информируются об установлении охранн</w:t>
      </w:r>
      <w:r>
        <w:rPr>
          <w:sz w:val="28"/>
          <w:szCs w:val="28"/>
        </w:rPr>
        <w:t xml:space="preserve">ых зон и иных ограничениях прав.</w:t>
      </w:r>
      <w:r>
        <w:rPr>
          <w:sz w:val="28"/>
          <w:szCs w:val="28"/>
        </w:rPr>
      </w:r>
    </w:p>
    <w:p>
      <w:pPr>
        <w:pStyle w:val="Normal"/>
        <w:ind w:firstLine="709"/>
        <w:jc w:val="both"/>
        <w:rPr>
          <w:sz w:val="28"/>
          <w:szCs w:val="28"/>
        </w:rPr>
      </w:pPr>
      <w:r>
        <w:rPr>
          <w:sz w:val="28"/>
          <w:szCs w:val="28"/>
        </w:rPr>
      </w:r>
    </w:p>
    <w:p>
      <w:pPr>
        <w:pStyle w:val="Normal"/>
        <w:ind w:firstLine="709"/>
        <w:jc w:val="right"/>
        <w:rPr>
          <w:b/>
          <w:sz w:val="28"/>
          <w:szCs w:val="28"/>
        </w:rPr>
      </w:pPr>
      <w:r>
        <w:rPr>
          <w:b/>
          <w:sz w:val="28"/>
          <w:szCs w:val="28"/>
        </w:rPr>
        <w:t xml:space="preserve">Материал подготовлен пресс-службой</w:t>
      </w:r>
      <w:r>
        <w:rPr>
          <w:b/>
          <w:sz w:val="28"/>
          <w:szCs w:val="28"/>
        </w:rPr>
      </w:r>
    </w:p>
    <w:p>
      <w:pPr>
        <w:pStyle w:val="Normal"/>
        <w:ind w:firstLine="709"/>
        <w:jc w:val="right"/>
        <w:rPr>
          <w:b/>
          <w:sz w:val="28"/>
          <w:szCs w:val="28"/>
        </w:rPr>
      </w:pPr>
      <w:r>
        <w:rPr>
          <w:b/>
          <w:sz w:val="28"/>
          <w:szCs w:val="28"/>
        </w:rPr>
        <w:t xml:space="preserve">Р</w:t>
      </w:r>
      <w:r>
        <w:rPr>
          <w:b/>
          <w:sz w:val="28"/>
          <w:szCs w:val="28"/>
        </w:rPr>
        <w:t xml:space="preserve">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1404</Characters>
  <CharactersWithSpaces>1647</CharactersWithSpaces>
  <DocSecurity>0</DocSecurity>
  <HyperlinksChanged>false</HyperlinksChanged>
  <Lines>11</Lines>
  <Pages>1</Pages>
  <Paragraphs>3</Paragraphs>
  <ScaleCrop>false</ScaleCrop>
  <SharedDoc>false</SharedDoc>
  <Template>Normal</Template>
  <Words>246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34</cp:revision>
  <dcterms:created xsi:type="dcterms:W3CDTF">2024-08-16T10:03:00Z</dcterms:created>
  <dcterms:modified xsi:type="dcterms:W3CDTF">2024-11-06T10:24:00Z</dcterms:modified>
  <cp:version>983040</cp:version>
</cp:coreProperties>
</file>